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0283" w14:textId="77777777" w:rsidR="009A0920" w:rsidRDefault="001679D6" w:rsidP="001679D6">
      <w:pPr>
        <w:jc w:val="center"/>
        <w:rPr>
          <w:b/>
          <w:sz w:val="28"/>
          <w:szCs w:val="28"/>
        </w:rPr>
      </w:pPr>
      <w:smartTag w:uri="urn:schemas-microsoft-com:office:smarttags" w:element="place">
        <w:smartTag w:uri="urn:schemas-microsoft-com:office:smarttags" w:element="PlaceName">
          <w:r w:rsidRPr="001679D6">
            <w:rPr>
              <w:b/>
              <w:sz w:val="28"/>
              <w:szCs w:val="28"/>
            </w:rPr>
            <w:t>CLIFTON</w:t>
          </w:r>
        </w:smartTag>
        <w:r w:rsidRPr="001679D6">
          <w:rPr>
            <w:b/>
            <w:sz w:val="28"/>
            <w:szCs w:val="28"/>
          </w:rPr>
          <w:t xml:space="preserve"> </w:t>
        </w:r>
        <w:smartTag w:uri="urn:schemas-microsoft-com:office:smarttags" w:element="PlaceType">
          <w:r w:rsidRPr="001679D6">
            <w:rPr>
              <w:b/>
              <w:sz w:val="28"/>
              <w:szCs w:val="28"/>
            </w:rPr>
            <w:t>PARK</w:t>
          </w:r>
        </w:smartTag>
      </w:smartTag>
      <w:r w:rsidRPr="001679D6">
        <w:rPr>
          <w:b/>
          <w:sz w:val="28"/>
          <w:szCs w:val="28"/>
        </w:rPr>
        <w:t xml:space="preserve"> WATER AUTHORITY</w:t>
      </w:r>
    </w:p>
    <w:p w14:paraId="581111B0" w14:textId="77777777" w:rsidR="003C1076" w:rsidRPr="003C1076" w:rsidRDefault="003C1076" w:rsidP="001679D6">
      <w:pPr>
        <w:jc w:val="center"/>
        <w:rPr>
          <w:b/>
        </w:rPr>
      </w:pPr>
      <w:r w:rsidRPr="003C1076">
        <w:rPr>
          <w:b/>
        </w:rPr>
        <w:t>AND SUBSIDIARIES</w:t>
      </w:r>
    </w:p>
    <w:p w14:paraId="21E06C53" w14:textId="77777777" w:rsidR="001679D6" w:rsidRPr="001679D6" w:rsidRDefault="001679D6" w:rsidP="001679D6">
      <w:pPr>
        <w:jc w:val="center"/>
        <w:rPr>
          <w:b/>
          <w:sz w:val="28"/>
          <w:szCs w:val="28"/>
        </w:rPr>
      </w:pPr>
    </w:p>
    <w:p w14:paraId="39A86865" w14:textId="77777777" w:rsidR="001679D6" w:rsidRDefault="001679D6" w:rsidP="001679D6">
      <w:pPr>
        <w:jc w:val="center"/>
        <w:rPr>
          <w:b/>
          <w:sz w:val="28"/>
          <w:szCs w:val="28"/>
        </w:rPr>
      </w:pPr>
      <w:r w:rsidRPr="001679D6">
        <w:rPr>
          <w:b/>
          <w:sz w:val="28"/>
          <w:szCs w:val="28"/>
        </w:rPr>
        <w:t>INVESTMENT POLICY</w:t>
      </w:r>
    </w:p>
    <w:p w14:paraId="0CB9C608" w14:textId="77777777" w:rsidR="001679D6" w:rsidRDefault="001679D6" w:rsidP="001679D6">
      <w:pPr>
        <w:jc w:val="center"/>
        <w:rPr>
          <w:b/>
          <w:sz w:val="28"/>
          <w:szCs w:val="28"/>
        </w:rPr>
      </w:pPr>
    </w:p>
    <w:p w14:paraId="4DEEE47E" w14:textId="5410E719" w:rsidR="001679D6" w:rsidRDefault="0043540D" w:rsidP="001679D6">
      <w:r>
        <w:tab/>
        <w:t>The objectives of the investment policy of the Clifton Park Water Authority (Authority)</w:t>
      </w:r>
      <w:r w:rsidR="00653700">
        <w:t xml:space="preserve"> and Subsidiaries</w:t>
      </w:r>
      <w:r>
        <w:t xml:space="preserve"> are to minimize risk, to ensure that investments mature when the cash is required to finance operations, construction schedules and debt service payments, and to ensure a competitive rate of return.  In accordance with this policy, the Authority Administrator is hereby authorized to invest all funds</w:t>
      </w:r>
      <w:r w:rsidR="00F04B89">
        <w:t>, exclusive of those held by the bond trustee(s) in accounts directly related to the Authority’s bond obligations, in:</w:t>
      </w:r>
    </w:p>
    <w:p w14:paraId="60C08977" w14:textId="77777777" w:rsidR="0043540D" w:rsidRDefault="0043540D" w:rsidP="001679D6"/>
    <w:p w14:paraId="55669650" w14:textId="77777777" w:rsidR="0043540D" w:rsidRDefault="0043540D" w:rsidP="001679D6">
      <w:r>
        <w:t>1.</w:t>
      </w:r>
      <w:r>
        <w:tab/>
        <w:t xml:space="preserve">Direct obligations of the </w:t>
      </w:r>
      <w:smartTag w:uri="urn:schemas-microsoft-com:office:smarttags" w:element="place">
        <w:smartTag w:uri="urn:schemas-microsoft-com:office:smarttags" w:element="country-region">
          <w:r>
            <w:t>United States of America</w:t>
          </w:r>
        </w:smartTag>
      </w:smartTag>
      <w:r>
        <w:t>,</w:t>
      </w:r>
    </w:p>
    <w:p w14:paraId="5BA14D1C" w14:textId="77777777" w:rsidR="0043540D" w:rsidRDefault="0043540D" w:rsidP="001679D6"/>
    <w:p w14:paraId="5618010A" w14:textId="77777777" w:rsidR="0043540D" w:rsidRDefault="0043540D" w:rsidP="001679D6">
      <w:r>
        <w:t>2.</w:t>
      </w:r>
      <w:r>
        <w:tab/>
        <w:t xml:space="preserve">Securities fully and unconditionally guaranteed by the </w:t>
      </w:r>
      <w:smartTag w:uri="urn:schemas-microsoft-com:office:smarttags" w:element="place">
        <w:smartTag w:uri="urn:schemas-microsoft-com:office:smarttags" w:element="country-region">
          <w:r>
            <w:t>United States of America</w:t>
          </w:r>
        </w:smartTag>
      </w:smartTag>
      <w:r w:rsidR="008A0ABB">
        <w:t>,</w:t>
      </w:r>
    </w:p>
    <w:p w14:paraId="71ECBC9D" w14:textId="77777777" w:rsidR="008A0ABB" w:rsidRDefault="008A0ABB" w:rsidP="001679D6"/>
    <w:p w14:paraId="1E880498" w14:textId="5354501A" w:rsidR="008A0ABB" w:rsidRDefault="00F04B89" w:rsidP="001679D6">
      <w:r>
        <w:t>3</w:t>
      </w:r>
      <w:r w:rsidR="008A0ABB">
        <w:t>.</w:t>
      </w:r>
      <w:r w:rsidR="008A0ABB">
        <w:tab/>
        <w:t xml:space="preserve">Direct obligations of any state of the </w:t>
      </w:r>
      <w:smartTag w:uri="urn:schemas-microsoft-com:office:smarttags" w:element="place">
        <w:smartTag w:uri="urn:schemas-microsoft-com:office:smarttags" w:element="country-region">
          <w:r w:rsidR="008A0ABB">
            <w:t>United State</w:t>
          </w:r>
          <w:r w:rsidR="00800E80">
            <w:t>s</w:t>
          </w:r>
          <w:r w:rsidR="008A0ABB">
            <w:t xml:space="preserve"> of America</w:t>
          </w:r>
        </w:smartTag>
      </w:smartTag>
      <w:r w:rsidR="008A0ABB">
        <w:t xml:space="preserve"> or any subdivision</w:t>
      </w:r>
      <w:r w:rsidR="00C368D7">
        <w:t xml:space="preserve"> </w:t>
      </w:r>
      <w:r w:rsidR="008A0ABB">
        <w:t xml:space="preserve">or </w:t>
      </w:r>
      <w:r w:rsidR="00366B6E">
        <w:tab/>
      </w:r>
      <w:r w:rsidR="008A0ABB">
        <w:t>agency ther</w:t>
      </w:r>
      <w:r w:rsidR="00366B6E">
        <w:t>e</w:t>
      </w:r>
      <w:r w:rsidR="008A0ABB">
        <w:t>of,</w:t>
      </w:r>
    </w:p>
    <w:p w14:paraId="6324F2BD" w14:textId="77777777" w:rsidR="008A0ABB" w:rsidRDefault="008A0ABB" w:rsidP="001679D6"/>
    <w:p w14:paraId="672FE006" w14:textId="7E5AD62F" w:rsidR="008A0ABB" w:rsidRDefault="00F04B89" w:rsidP="001679D6">
      <w:r>
        <w:t>4</w:t>
      </w:r>
      <w:r w:rsidR="008A0ABB">
        <w:t>.</w:t>
      </w:r>
      <w:r w:rsidR="008A0ABB">
        <w:tab/>
        <w:t>Federal funds, certificates of deposit, time deposits, or bankers’ acceptances</w:t>
      </w:r>
      <w:r w:rsidR="00366B6E">
        <w:t xml:space="preserve"> </w:t>
      </w:r>
      <w:r w:rsidR="008A0ABB">
        <w:t>of</w:t>
      </w:r>
      <w:r w:rsidR="00C368D7">
        <w:t xml:space="preserve"> </w:t>
      </w:r>
      <w:r w:rsidR="008A0ABB">
        <w:t xml:space="preserve">any </w:t>
      </w:r>
      <w:r w:rsidR="00366B6E">
        <w:tab/>
      </w:r>
      <w:r w:rsidR="008A0ABB">
        <w:t xml:space="preserve">domestic bank authorized to do business in </w:t>
      </w:r>
      <w:smartTag w:uri="urn:schemas-microsoft-com:office:smarttags" w:element="place">
        <w:smartTag w:uri="urn:schemas-microsoft-com:office:smarttags" w:element="PlaceName">
          <w:r w:rsidR="008A0ABB">
            <w:t>New York</w:t>
          </w:r>
        </w:smartTag>
        <w:r w:rsidR="008A0ABB">
          <w:t xml:space="preserve"> </w:t>
        </w:r>
        <w:smartTag w:uri="urn:schemas-microsoft-com:office:smarttags" w:element="PlaceType">
          <w:r w:rsidR="008A0ABB">
            <w:t>State</w:t>
          </w:r>
        </w:smartTag>
      </w:smartTag>
      <w:r w:rsidR="008A0ABB">
        <w:t>,</w:t>
      </w:r>
    </w:p>
    <w:p w14:paraId="32B239F2" w14:textId="77777777" w:rsidR="008A0ABB" w:rsidRDefault="008A0ABB" w:rsidP="001679D6"/>
    <w:p w14:paraId="7A65C4BD" w14:textId="7DD7BF15" w:rsidR="008A0ABB" w:rsidRDefault="00F04B89" w:rsidP="001679D6">
      <w:r>
        <w:t>5</w:t>
      </w:r>
      <w:r w:rsidR="008A0ABB">
        <w:t>.</w:t>
      </w:r>
      <w:r w:rsidR="008A0ABB">
        <w:tab/>
        <w:t>Investment in money market funds,</w:t>
      </w:r>
    </w:p>
    <w:p w14:paraId="2D397FF8" w14:textId="77777777" w:rsidR="008A0ABB" w:rsidRDefault="008A0ABB" w:rsidP="001679D6"/>
    <w:p w14:paraId="6CAA1D26" w14:textId="30005F28" w:rsidR="008A0ABB" w:rsidRDefault="00F04B89" w:rsidP="001679D6">
      <w:r>
        <w:t>6</w:t>
      </w:r>
      <w:r w:rsidR="008A0ABB">
        <w:t>.</w:t>
      </w:r>
      <w:r w:rsidR="008A0ABB">
        <w:tab/>
        <w:t xml:space="preserve">Time deposit accounts in a bank or trust company authorized to do business in </w:t>
      </w:r>
      <w:r w:rsidR="008A0ABB">
        <w:tab/>
      </w:r>
      <w:smartTag w:uri="urn:schemas-microsoft-com:office:smarttags" w:element="place">
        <w:smartTag w:uri="urn:schemas-microsoft-com:office:smarttags" w:element="PlaceName">
          <w:r w:rsidR="008A0ABB">
            <w:t>New York</w:t>
          </w:r>
        </w:smartTag>
        <w:r w:rsidR="008A0ABB">
          <w:t xml:space="preserve"> </w:t>
        </w:r>
        <w:smartTag w:uri="urn:schemas-microsoft-com:office:smarttags" w:element="PlaceType">
          <w:r w:rsidR="008A0ABB">
            <w:t>State</w:t>
          </w:r>
        </w:smartTag>
      </w:smartTag>
      <w:r w:rsidR="008A0ABB">
        <w:t>.</w:t>
      </w:r>
    </w:p>
    <w:p w14:paraId="552D3E61" w14:textId="77777777" w:rsidR="008A0ABB" w:rsidRDefault="008A0ABB" w:rsidP="001679D6"/>
    <w:p w14:paraId="25390BC4" w14:textId="047737B4" w:rsidR="00F04B89" w:rsidRDefault="008A0ABB" w:rsidP="001679D6">
      <w:r>
        <w:tab/>
      </w:r>
    </w:p>
    <w:p w14:paraId="188524F0" w14:textId="77777777" w:rsidR="00C800A1" w:rsidRDefault="008A0ABB" w:rsidP="0081422D">
      <w:pPr>
        <w:ind w:firstLine="720"/>
      </w:pPr>
      <w:r>
        <w:t xml:space="preserve">All investments made pursuant to this investment policy </w:t>
      </w:r>
      <w:r w:rsidR="00800E80">
        <w:t xml:space="preserve">shall comply </w:t>
      </w:r>
      <w:r>
        <w:t>with the following conditions:</w:t>
      </w:r>
    </w:p>
    <w:p w14:paraId="46E6D0A5" w14:textId="77777777" w:rsidR="008A0ABB" w:rsidRDefault="008A0ABB" w:rsidP="001679D6"/>
    <w:p w14:paraId="1FDF3265" w14:textId="77777777" w:rsidR="008A0ABB" w:rsidRPr="00C368D7" w:rsidRDefault="008A0ABB" w:rsidP="001679D6">
      <w:pPr>
        <w:rPr>
          <w:b/>
        </w:rPr>
      </w:pPr>
      <w:r w:rsidRPr="00C368D7">
        <w:rPr>
          <w:b/>
        </w:rPr>
        <w:t>1.</w:t>
      </w:r>
      <w:r w:rsidRPr="00C368D7">
        <w:rPr>
          <w:b/>
        </w:rPr>
        <w:tab/>
        <w:t>Collateral</w:t>
      </w:r>
    </w:p>
    <w:p w14:paraId="509D081C" w14:textId="77777777" w:rsidR="008A0ABB" w:rsidRDefault="008A0ABB" w:rsidP="001679D6"/>
    <w:p w14:paraId="334CF596" w14:textId="77777777" w:rsidR="008A0ABB" w:rsidRDefault="008A0ABB" w:rsidP="00166AC4">
      <w:r>
        <w:tab/>
        <w:t>a.</w:t>
      </w:r>
      <w:r w:rsidR="00166AC4">
        <w:tab/>
        <w:t xml:space="preserve">Certificates of deposit and time deposit accounts shall be fully </w:t>
      </w:r>
      <w:r w:rsidR="004564E9">
        <w:t xml:space="preserve">secured </w:t>
      </w:r>
      <w:r w:rsidR="004564E9">
        <w:tab/>
      </w:r>
      <w:r w:rsidR="004564E9">
        <w:tab/>
      </w:r>
      <w:r w:rsidR="00366B6E">
        <w:tab/>
      </w:r>
      <w:r w:rsidR="004564E9">
        <w:t>by insurance of the Federal Deposit Insurance Corporation, obligations</w:t>
      </w:r>
      <w:r w:rsidR="00366B6E">
        <w:t xml:space="preserve"> </w:t>
      </w:r>
      <w:r w:rsidR="004564E9">
        <w:t xml:space="preserve">of </w:t>
      </w:r>
      <w:r w:rsidR="00366B6E">
        <w:tab/>
      </w:r>
      <w:r w:rsidR="00366B6E">
        <w:tab/>
      </w:r>
      <w:r w:rsidR="00366B6E">
        <w:tab/>
      </w:r>
      <w:smartTag w:uri="urn:schemas-microsoft-com:office:smarttags" w:element="place">
        <w:smartTag w:uri="urn:schemas-microsoft-com:office:smarttags" w:element="PlaceName">
          <w:r w:rsidR="004564E9">
            <w:t>New York</w:t>
          </w:r>
        </w:smartTag>
        <w:r w:rsidR="004564E9">
          <w:t xml:space="preserve"> </w:t>
        </w:r>
        <w:smartTag w:uri="urn:schemas-microsoft-com:office:smarttags" w:element="PlaceType">
          <w:r w:rsidR="004564E9">
            <w:t>State</w:t>
          </w:r>
        </w:smartTag>
      </w:smartTag>
      <w:r w:rsidR="004564E9">
        <w:t xml:space="preserve">, obligations of the </w:t>
      </w:r>
      <w:smartTag w:uri="urn:schemas-microsoft-com:office:smarttags" w:element="place">
        <w:smartTag w:uri="urn:schemas-microsoft-com:office:smarttags" w:element="country-region">
          <w:r w:rsidR="004564E9">
            <w:t>United States</w:t>
          </w:r>
        </w:smartTag>
      </w:smartTag>
      <w:r w:rsidR="004564E9">
        <w:t xml:space="preserve">, obligations of federal </w:t>
      </w:r>
      <w:r w:rsidR="00366B6E">
        <w:tab/>
      </w:r>
      <w:r w:rsidR="00366B6E">
        <w:tab/>
      </w:r>
      <w:r w:rsidR="00366B6E">
        <w:tab/>
      </w:r>
      <w:r w:rsidR="004564E9">
        <w:t xml:space="preserve">agencies with principal and interest which are guaranteed by the United </w:t>
      </w:r>
      <w:r w:rsidR="00366B6E">
        <w:tab/>
      </w:r>
      <w:r w:rsidR="00366B6E">
        <w:tab/>
      </w:r>
      <w:r w:rsidR="00366B6E">
        <w:tab/>
      </w:r>
      <w:r w:rsidR="004564E9">
        <w:t xml:space="preserve">States or obligations of New York State local governments.  Collateral shall </w:t>
      </w:r>
      <w:r w:rsidR="00366B6E">
        <w:tab/>
      </w:r>
      <w:r w:rsidR="00366B6E">
        <w:tab/>
      </w:r>
      <w:r w:rsidR="004564E9">
        <w:t xml:space="preserve">be delivered to the custodial bank with which the Authority has entered into a </w:t>
      </w:r>
      <w:r w:rsidR="00366B6E">
        <w:tab/>
      </w:r>
      <w:r w:rsidR="00366B6E">
        <w:tab/>
      </w:r>
      <w:r w:rsidR="004564E9">
        <w:t>custodial agreement.  The market</w:t>
      </w:r>
      <w:r w:rsidR="00800E80">
        <w:t xml:space="preserve"> value of th</w:t>
      </w:r>
      <w:r w:rsidR="003C1076">
        <w:t>e collateral shall at all times</w:t>
      </w:r>
    </w:p>
    <w:p w14:paraId="166A09F0" w14:textId="62842F43" w:rsidR="004C1818" w:rsidRDefault="00B76C13" w:rsidP="001679D6">
      <w:r>
        <w:tab/>
      </w:r>
      <w:r>
        <w:tab/>
        <w:t>equal or exceed</w:t>
      </w:r>
      <w:r w:rsidR="004C1818">
        <w:t xml:space="preserve"> the principal amount of the certificate of deposit or balance </w:t>
      </w:r>
      <w:r w:rsidR="00800E80">
        <w:tab/>
      </w:r>
      <w:r w:rsidR="00800E80">
        <w:tab/>
      </w:r>
      <w:r w:rsidR="004C1818">
        <w:t>of the time deposit accounts.</w:t>
      </w:r>
      <w:r w:rsidR="004C1818">
        <w:tab/>
      </w:r>
      <w:r w:rsidR="00800E80">
        <w:t xml:space="preserve"> </w:t>
      </w:r>
    </w:p>
    <w:p w14:paraId="6C398CD1" w14:textId="1AE294B7" w:rsidR="004C1818" w:rsidRDefault="004C1818" w:rsidP="001679D6">
      <w:r>
        <w:tab/>
      </w:r>
    </w:p>
    <w:p w14:paraId="76DC0FC7" w14:textId="016FEE9A" w:rsidR="004C1818" w:rsidRDefault="004C1818" w:rsidP="001679D6">
      <w:r>
        <w:tab/>
      </w:r>
      <w:r w:rsidR="00F04B89">
        <w:t>b</w:t>
      </w:r>
      <w:r>
        <w:t>.</w:t>
      </w:r>
      <w:r>
        <w:tab/>
        <w:t xml:space="preserve">Collateral shall not be required with respect to the direct purchase obligations </w:t>
      </w:r>
      <w:r>
        <w:tab/>
      </w:r>
      <w:r>
        <w:tab/>
        <w:t xml:space="preserve">of New York State, obligations of the United States, and the obligations of </w:t>
      </w:r>
      <w:r>
        <w:tab/>
      </w:r>
      <w:r>
        <w:tab/>
        <w:t xml:space="preserve">federal agencies with principal and interest of which are guaranteed by the </w:t>
      </w:r>
      <w:r>
        <w:tab/>
      </w:r>
      <w:r>
        <w:tab/>
        <w:t>United States government.</w:t>
      </w:r>
    </w:p>
    <w:p w14:paraId="73564E2F" w14:textId="77777777" w:rsidR="004C1818" w:rsidRDefault="004C1818" w:rsidP="001679D6"/>
    <w:p w14:paraId="51025BE2" w14:textId="77777777" w:rsidR="004C1818" w:rsidRDefault="00F04B89" w:rsidP="001679D6">
      <w:r>
        <w:rPr>
          <w:b/>
        </w:rPr>
        <w:br w:type="page"/>
      </w:r>
      <w:r w:rsidR="004C1818">
        <w:rPr>
          <w:b/>
        </w:rPr>
        <w:lastRenderedPageBreak/>
        <w:t>2.</w:t>
      </w:r>
      <w:r w:rsidR="004C1818">
        <w:rPr>
          <w:b/>
        </w:rPr>
        <w:tab/>
        <w:t>Delivery of securities</w:t>
      </w:r>
    </w:p>
    <w:p w14:paraId="498D7547" w14:textId="2F80C57E" w:rsidR="00311F70" w:rsidRDefault="004C1818" w:rsidP="001679D6">
      <w:r>
        <w:tab/>
      </w:r>
    </w:p>
    <w:p w14:paraId="52D9084C" w14:textId="4B90CFF0" w:rsidR="00C800A1" w:rsidRDefault="00311F70" w:rsidP="0081422D">
      <w:pPr>
        <w:ind w:left="720"/>
      </w:pPr>
      <w:r>
        <w:t>Payment shall be made by or</w:t>
      </w:r>
      <w:r w:rsidR="00B33388">
        <w:t xml:space="preserve"> on behalf of the Authority for obligations of </w:t>
      </w:r>
      <w:r w:rsidR="00B33388">
        <w:tab/>
        <w:t>New York State, obligations the principal and interest of which are</w:t>
      </w:r>
      <w:r w:rsidR="00D254ED">
        <w:t xml:space="preserve"> </w:t>
      </w:r>
      <w:r w:rsidR="00B33388">
        <w:t>guaranteed by the United States.  United States obligations, certificates of</w:t>
      </w:r>
      <w:r w:rsidR="00D254ED">
        <w:t xml:space="preserve"> </w:t>
      </w:r>
      <w:r w:rsidR="00B33388">
        <w:t>deposits, and other purchase</w:t>
      </w:r>
      <w:r w:rsidR="00D254ED">
        <w:t xml:space="preserve"> </w:t>
      </w:r>
      <w:r w:rsidR="00B33388">
        <w:t>securities upon the delivery thereof to the</w:t>
      </w:r>
      <w:r w:rsidR="00D254ED">
        <w:t xml:space="preserve"> </w:t>
      </w:r>
      <w:r w:rsidR="00B33388">
        <w:t>custodial bank, or in the case of a book-entry transactions, when the</w:t>
      </w:r>
      <w:r w:rsidR="00D254ED">
        <w:t xml:space="preserve"> </w:t>
      </w:r>
      <w:r w:rsidR="00B33388">
        <w:t>purchased securities are credited to the custodial bank’s federal reserve</w:t>
      </w:r>
      <w:r w:rsidR="00F04B89">
        <w:t xml:space="preserve"> </w:t>
      </w:r>
      <w:r w:rsidR="00B33388">
        <w:t>system</w:t>
      </w:r>
      <w:r w:rsidR="00D254ED">
        <w:t xml:space="preserve"> </w:t>
      </w:r>
      <w:r w:rsidR="00B33388">
        <w:t>account.  All transactions shall be confirmed in writing.</w:t>
      </w:r>
    </w:p>
    <w:p w14:paraId="6B202DD7" w14:textId="77777777" w:rsidR="00B33388" w:rsidRDefault="00B33388" w:rsidP="001679D6"/>
    <w:p w14:paraId="4C8B6FF7" w14:textId="77777777" w:rsidR="00B33388" w:rsidRPr="001E3455" w:rsidRDefault="00B33388" w:rsidP="001679D6">
      <w:pPr>
        <w:rPr>
          <w:b/>
        </w:rPr>
      </w:pPr>
      <w:r w:rsidRPr="001E3455">
        <w:rPr>
          <w:b/>
        </w:rPr>
        <w:t>3.</w:t>
      </w:r>
      <w:r w:rsidRPr="001E3455">
        <w:rPr>
          <w:b/>
        </w:rPr>
        <w:tab/>
        <w:t>Written contracts</w:t>
      </w:r>
    </w:p>
    <w:p w14:paraId="1C532F13" w14:textId="77777777" w:rsidR="00B33388" w:rsidRDefault="00B33388" w:rsidP="001679D6"/>
    <w:p w14:paraId="3E41A54C" w14:textId="43C7162A" w:rsidR="00C800A1" w:rsidRDefault="00B33388" w:rsidP="0081422D">
      <w:pPr>
        <w:ind w:left="720"/>
      </w:pPr>
      <w:r>
        <w:t>Written contracts are required for certificates of deposit, and</w:t>
      </w:r>
      <w:r w:rsidR="00D254ED">
        <w:t xml:space="preserve"> </w:t>
      </w:r>
      <w:r>
        <w:t xml:space="preserve">custodial undertakings.  With respect to the purchase of obligations of the United States, New York State, or other governmental entities, etc., in which monies may be invested, the interest of the Authority will be adequately protected by conditioning payment on the physical delivery of purchased securities to the </w:t>
      </w:r>
      <w:r w:rsidR="00800E80">
        <w:t>A</w:t>
      </w:r>
      <w:r>
        <w:t>uthority or custodian, or in the case of book-entry transactions, on the crediting of purchases security to the custodian’s federal reserve system account.  All pur</w:t>
      </w:r>
      <w:r w:rsidR="001E3455">
        <w:t>chases will be confirmed in writing to the Authority.</w:t>
      </w:r>
    </w:p>
    <w:p w14:paraId="776F33B1" w14:textId="77777777" w:rsidR="001E3455" w:rsidRDefault="001E3455" w:rsidP="001679D6"/>
    <w:p w14:paraId="001EFA67" w14:textId="77777777" w:rsidR="001E3455" w:rsidRDefault="001E3455" w:rsidP="001679D6">
      <w:r>
        <w:tab/>
        <w:t>It is therefore the policy of the authority to require written contracts as follows:</w:t>
      </w:r>
    </w:p>
    <w:p w14:paraId="28AE9C17" w14:textId="1379C527" w:rsidR="00523555" w:rsidRDefault="001E3455" w:rsidP="001679D6">
      <w:r>
        <w:tab/>
      </w:r>
    </w:p>
    <w:p w14:paraId="4DA6F74B" w14:textId="418D37FE" w:rsidR="00523555" w:rsidRDefault="00523555" w:rsidP="001679D6">
      <w:r>
        <w:tab/>
      </w:r>
      <w:r w:rsidR="00D254ED">
        <w:t>a</w:t>
      </w:r>
      <w:r>
        <w:t>.</w:t>
      </w:r>
      <w:r>
        <w:tab/>
        <w:t xml:space="preserve">Written contracts shall be required for the purchase of all certificates of </w:t>
      </w:r>
      <w:r>
        <w:tab/>
      </w:r>
      <w:r>
        <w:tab/>
      </w:r>
      <w:r>
        <w:tab/>
        <w:t>deposit.</w:t>
      </w:r>
    </w:p>
    <w:p w14:paraId="1969E964" w14:textId="77777777" w:rsidR="00523555" w:rsidRDefault="00523555" w:rsidP="001679D6"/>
    <w:p w14:paraId="0F2B5F72" w14:textId="61A9E868" w:rsidR="00523555" w:rsidRDefault="00523555" w:rsidP="001679D6">
      <w:r>
        <w:tab/>
      </w:r>
      <w:r w:rsidR="00D254ED">
        <w:t>b</w:t>
      </w:r>
      <w:r>
        <w:t>.</w:t>
      </w:r>
      <w:r>
        <w:tab/>
        <w:t>A written contract shall be required with the custodial bank.</w:t>
      </w:r>
    </w:p>
    <w:p w14:paraId="0DF96226" w14:textId="77777777" w:rsidR="00523555" w:rsidRDefault="00523555" w:rsidP="001679D6"/>
    <w:p w14:paraId="3336F517" w14:textId="77777777" w:rsidR="00523555" w:rsidRDefault="00523555" w:rsidP="001679D6">
      <w:pPr>
        <w:rPr>
          <w:b/>
        </w:rPr>
      </w:pPr>
      <w:r w:rsidRPr="00523555">
        <w:rPr>
          <w:b/>
        </w:rPr>
        <w:t>4.</w:t>
      </w:r>
      <w:r w:rsidRPr="00523555">
        <w:rPr>
          <w:b/>
        </w:rPr>
        <w:tab/>
        <w:t>Designation of custodial bank</w:t>
      </w:r>
    </w:p>
    <w:p w14:paraId="5E65506A" w14:textId="77777777" w:rsidR="00523555" w:rsidRDefault="00523555" w:rsidP="001679D6">
      <w:pPr>
        <w:rPr>
          <w:b/>
        </w:rPr>
      </w:pPr>
    </w:p>
    <w:p w14:paraId="557DDC6E" w14:textId="64C5A466" w:rsidR="00C800A1" w:rsidRDefault="005B683B" w:rsidP="0081422D">
      <w:pPr>
        <w:ind w:left="720"/>
      </w:pPr>
      <w:r>
        <w:t>KeyBank</w:t>
      </w:r>
      <w:r w:rsidR="0097400C">
        <w:t xml:space="preserve"> </w:t>
      </w:r>
      <w:r w:rsidR="00661067">
        <w:t>and BNY Mellon,</w:t>
      </w:r>
      <w:r w:rsidR="005E4E49">
        <w:t xml:space="preserve"> </w:t>
      </w:r>
      <w:r w:rsidR="00523555">
        <w:t xml:space="preserve">chartered by the State of New York, </w:t>
      </w:r>
      <w:r w:rsidR="005E4E49">
        <w:t xml:space="preserve">are </w:t>
      </w:r>
      <w:r w:rsidR="00523555">
        <w:t>designated to act as custodial banks of the Auth</w:t>
      </w:r>
      <w:r w:rsidR="005E4E49">
        <w:t xml:space="preserve">ority’s investments.  However, </w:t>
      </w:r>
      <w:r w:rsidR="00523555">
        <w:t>securities may not be purchased through a repurchas</w:t>
      </w:r>
      <w:r w:rsidR="005E4E49">
        <w:t xml:space="preserve">e agreement with the custodial </w:t>
      </w:r>
      <w:r w:rsidR="00523555">
        <w:t>bank.</w:t>
      </w:r>
    </w:p>
    <w:p w14:paraId="587E464B" w14:textId="77777777" w:rsidR="00C800A1" w:rsidRDefault="00C800A1" w:rsidP="0081422D">
      <w:pPr>
        <w:ind w:left="720"/>
      </w:pPr>
    </w:p>
    <w:p w14:paraId="7F5B9F62" w14:textId="77777777" w:rsidR="00D254ED" w:rsidRDefault="006E7AE7" w:rsidP="006E7AE7">
      <w:pPr>
        <w:rPr>
          <w:b/>
        </w:rPr>
      </w:pPr>
      <w:r>
        <w:rPr>
          <w:b/>
        </w:rPr>
        <w:t>5.</w:t>
      </w:r>
      <w:r>
        <w:rPr>
          <w:b/>
        </w:rPr>
        <w:tab/>
        <w:t>Investment of Bond Obligations and Bond Reserve Funds</w:t>
      </w:r>
    </w:p>
    <w:p w14:paraId="78FE6144" w14:textId="77777777" w:rsidR="006E7AE7" w:rsidRDefault="006E7AE7" w:rsidP="006E7AE7">
      <w:pPr>
        <w:rPr>
          <w:b/>
        </w:rPr>
      </w:pPr>
    </w:p>
    <w:p w14:paraId="51E678D8" w14:textId="77777777" w:rsidR="00C800A1" w:rsidRDefault="006E7AE7" w:rsidP="0081422D">
      <w:pPr>
        <w:ind w:left="720"/>
      </w:pPr>
      <w:r>
        <w:t xml:space="preserve">Investment of bond obligations and bond reserve funds are subject to the limitations and guidelines set forth in the </w:t>
      </w:r>
      <w:r w:rsidR="00927891">
        <w:t>Water System Revenue Bond Resolution</w:t>
      </w:r>
      <w:r w:rsidR="0059082D">
        <w:t>, Article 1, Section 1.01 under “Authorized Investments”, Section 6.03 “Investment of Certain Funds” and Section 6.04 “Valuation or Sale of Investments”, adopted November 16, 1993.</w:t>
      </w:r>
    </w:p>
    <w:p w14:paraId="11B6DC26" w14:textId="77777777" w:rsidR="00C800A1" w:rsidRDefault="00C800A1" w:rsidP="0081422D">
      <w:pPr>
        <w:ind w:left="720"/>
      </w:pPr>
    </w:p>
    <w:p w14:paraId="2F2863F0" w14:textId="0D40D2C5" w:rsidR="00523555" w:rsidRDefault="0059082D" w:rsidP="001679D6">
      <w:r>
        <w:rPr>
          <w:b/>
        </w:rPr>
        <w:t>6</w:t>
      </w:r>
      <w:r w:rsidR="00523555" w:rsidRPr="00523555">
        <w:rPr>
          <w:b/>
        </w:rPr>
        <w:t>.</w:t>
      </w:r>
      <w:r w:rsidR="00523555" w:rsidRPr="00523555">
        <w:rPr>
          <w:b/>
        </w:rPr>
        <w:tab/>
        <w:t>Financial strength of institutions</w:t>
      </w:r>
    </w:p>
    <w:p w14:paraId="3B8EC8A0" w14:textId="77777777" w:rsidR="005F711F" w:rsidRDefault="005F711F" w:rsidP="001679D6"/>
    <w:p w14:paraId="6FB3852D" w14:textId="18F63F71" w:rsidR="00C800A1" w:rsidRDefault="005F711F" w:rsidP="0081422D">
      <w:pPr>
        <w:ind w:left="720"/>
      </w:pPr>
      <w:r>
        <w:t>All trading partners must be credit worthy.  Their financial statements must be reviewed at least annually by the Authority Administrator</w:t>
      </w:r>
      <w:r w:rsidR="00A45680">
        <w:t>,</w:t>
      </w:r>
      <w:r>
        <w:t xml:space="preserve"> </w:t>
      </w:r>
      <w:r w:rsidR="00A45680">
        <w:t xml:space="preserve">or the Authority Administrator may use credit rating agencies or credible online rating </w:t>
      </w:r>
      <w:r w:rsidR="003D7223">
        <w:t>services</w:t>
      </w:r>
      <w:r w:rsidR="00A45680">
        <w:t xml:space="preserve"> </w:t>
      </w:r>
      <w:r>
        <w:t>to determine satisfactory financial strength of trading partners.  Concentration of investments in financial institutions should be avoided.</w:t>
      </w:r>
    </w:p>
    <w:p w14:paraId="5509147F" w14:textId="77777777" w:rsidR="005F711F" w:rsidRDefault="005F711F" w:rsidP="001679D6"/>
    <w:p w14:paraId="58641D6F" w14:textId="77777777" w:rsidR="005F711F" w:rsidRDefault="005F711F" w:rsidP="001679D6">
      <w:r>
        <w:tab/>
        <w:t xml:space="preserve">Investments in time deposits and certificates of deposit are to be made with banks or </w:t>
      </w:r>
      <w:r>
        <w:tab/>
        <w:t xml:space="preserve">trust companies.  Their annual reports must be reviewed by the Authority </w:t>
      </w:r>
      <w:r>
        <w:tab/>
        <w:t>Administrator to determine satisfactory financial strength.</w:t>
      </w:r>
    </w:p>
    <w:p w14:paraId="13CA083D" w14:textId="77777777" w:rsidR="005F711F" w:rsidRDefault="005F711F" w:rsidP="001679D6"/>
    <w:p w14:paraId="48AAC8A1" w14:textId="77777777" w:rsidR="005F711F" w:rsidRDefault="005F711F" w:rsidP="001679D6">
      <w:r>
        <w:tab/>
        <w:t xml:space="preserve">When purchasing eligible securities, the seller shall be required to deliver the </w:t>
      </w:r>
      <w:r>
        <w:tab/>
        <w:t>securities to the custodial bank.</w:t>
      </w:r>
    </w:p>
    <w:p w14:paraId="5ADF925E" w14:textId="77777777" w:rsidR="005F711F" w:rsidRDefault="005F711F" w:rsidP="001679D6"/>
    <w:p w14:paraId="1BE46FAF" w14:textId="3F1AB3DC" w:rsidR="005F711F" w:rsidRDefault="005F711F" w:rsidP="001679D6">
      <w:r>
        <w:tab/>
      </w:r>
    </w:p>
    <w:p w14:paraId="259D41B3" w14:textId="7E72CD85" w:rsidR="005F711F" w:rsidRDefault="0059082D" w:rsidP="001679D6">
      <w:r>
        <w:rPr>
          <w:b/>
        </w:rPr>
        <w:t>7</w:t>
      </w:r>
      <w:r w:rsidR="005F711F" w:rsidRPr="005F711F">
        <w:rPr>
          <w:b/>
        </w:rPr>
        <w:t>.</w:t>
      </w:r>
      <w:r w:rsidR="005F711F" w:rsidRPr="005F711F">
        <w:rPr>
          <w:b/>
        </w:rPr>
        <w:tab/>
        <w:t>Operations audit and reporting</w:t>
      </w:r>
    </w:p>
    <w:p w14:paraId="1CEE418D" w14:textId="77777777" w:rsidR="005F711F" w:rsidRDefault="005F711F" w:rsidP="001679D6"/>
    <w:p w14:paraId="7B5589AC" w14:textId="384F0C1F" w:rsidR="00C800A1" w:rsidRDefault="005F711F" w:rsidP="0081422D">
      <w:pPr>
        <w:ind w:left="720"/>
      </w:pPr>
      <w:r>
        <w:t xml:space="preserve">The Authority Administrator or Business Manager shall authorize the purchase or sale of all securities and execute </w:t>
      </w:r>
      <w:r w:rsidR="00536628">
        <w:t>contracts for certificates of deposit on behalf of the Authority.  Oral directions concerning the purchase or sale of securities shall be confirmed in writing.  The Authority shall pay for purchased securities upon the delivery or book entry thereof.</w:t>
      </w:r>
    </w:p>
    <w:p w14:paraId="1B8F8851" w14:textId="77777777" w:rsidR="00536628" w:rsidRDefault="00536628" w:rsidP="001679D6"/>
    <w:p w14:paraId="6C6D5694" w14:textId="77777777" w:rsidR="00536628" w:rsidRDefault="00536628" w:rsidP="001679D6">
      <w:r>
        <w:tab/>
        <w:t xml:space="preserve">The Authority will encourage the purchase and sale of securities and certificates of </w:t>
      </w:r>
      <w:r w:rsidR="004B0E2D">
        <w:tab/>
      </w:r>
      <w:r>
        <w:t>deposit through a competitive or negotiated price involving telephone</w:t>
      </w:r>
      <w:r w:rsidR="00BA0061">
        <w:t xml:space="preserve"> solicitation of </w:t>
      </w:r>
      <w:r w:rsidR="004B0E2D">
        <w:tab/>
      </w:r>
      <w:r w:rsidR="00BA0061">
        <w:t>at least three bids for each transaction.</w:t>
      </w:r>
    </w:p>
    <w:p w14:paraId="399F4CB9" w14:textId="77777777" w:rsidR="00BA0061" w:rsidRDefault="00BA0061" w:rsidP="001679D6"/>
    <w:p w14:paraId="2F4F30D8" w14:textId="77777777" w:rsidR="00BA0061" w:rsidRDefault="00BA0061" w:rsidP="001679D6">
      <w:r>
        <w:tab/>
        <w:t xml:space="preserve">At the time independent auditors conduct the annual audit of the accounts and </w:t>
      </w:r>
      <w:r w:rsidR="004B0E2D">
        <w:tab/>
      </w:r>
      <w:r>
        <w:t xml:space="preserve">financial affairs of the Authority, the independent auditors shall audit the </w:t>
      </w:r>
      <w:r w:rsidR="004B0E2D">
        <w:tab/>
      </w:r>
      <w:r>
        <w:t xml:space="preserve">investments of the Authority for compliance with provisions of these investment </w:t>
      </w:r>
      <w:r w:rsidR="004B0E2D">
        <w:tab/>
      </w:r>
      <w:r>
        <w:t>guidelines.</w:t>
      </w:r>
    </w:p>
    <w:p w14:paraId="0C11ADEE" w14:textId="77777777" w:rsidR="00BA0061" w:rsidRDefault="00BA0061" w:rsidP="001679D6"/>
    <w:p w14:paraId="1D4A46AD" w14:textId="77777777" w:rsidR="00BA0061" w:rsidRDefault="00BA0061" w:rsidP="001679D6">
      <w:r>
        <w:tab/>
        <w:t>Within 120 days</w:t>
      </w:r>
      <w:r w:rsidR="00DF3677">
        <w:t xml:space="preserve"> of the end of the fiscal year, the Authority Administrator or </w:t>
      </w:r>
      <w:r w:rsidR="004B0E2D">
        <w:tab/>
      </w:r>
      <w:r w:rsidR="00DF3677">
        <w:t xml:space="preserve">Business Manager shall prepare and submit to the Board of </w:t>
      </w:r>
      <w:r w:rsidR="004B0E2D">
        <w:t xml:space="preserve">the </w:t>
      </w:r>
      <w:r w:rsidR="00DF3677">
        <w:t>Authority</w:t>
      </w:r>
      <w:r w:rsidR="004B0E2D">
        <w:t xml:space="preserve">, or </w:t>
      </w:r>
      <w:r w:rsidR="004B0E2D">
        <w:tab/>
        <w:t xml:space="preserve">designated committee thereof, an annual investment report, recommendations for </w:t>
      </w:r>
      <w:r w:rsidR="004B0E2D">
        <w:tab/>
        <w:t xml:space="preserve">change in these investment guidelines, the results of the annual independent audit, </w:t>
      </w:r>
      <w:r w:rsidR="004B0E2D">
        <w:tab/>
        <w:t xml:space="preserve">the investment income record, a list of total fees, commissions, or other charges (if </w:t>
      </w:r>
      <w:r w:rsidR="004B0E2D">
        <w:tab/>
        <w:t xml:space="preserve">any) paid to the custodial bank, and such other matters as the Authority </w:t>
      </w:r>
      <w:r w:rsidR="004B0E2D">
        <w:tab/>
        <w:t xml:space="preserve">Administrator or Business Manager deems appropriate.  The Board of the Authority </w:t>
      </w:r>
      <w:r w:rsidR="004B0E2D">
        <w:tab/>
        <w:t xml:space="preserve">shall review and approve the annual investment report if practicable at its May </w:t>
      </w:r>
      <w:r w:rsidR="004B0E2D">
        <w:tab/>
        <w:t>meeting.</w:t>
      </w:r>
    </w:p>
    <w:p w14:paraId="45860BB3" w14:textId="77777777" w:rsidR="004B0E2D" w:rsidRDefault="004B0E2D" w:rsidP="001679D6"/>
    <w:p w14:paraId="427BBC5A" w14:textId="77777777" w:rsidR="004B0E2D" w:rsidRDefault="004B0E2D" w:rsidP="001679D6">
      <w:r>
        <w:tab/>
        <w:t xml:space="preserve">At least annually, and if practicable, at the May meeting of the Board of the </w:t>
      </w:r>
      <w:r>
        <w:tab/>
        <w:t xml:space="preserve">Authority, the members shall review and amend, if necessary, these investment </w:t>
      </w:r>
      <w:r>
        <w:tab/>
        <w:t>guidelines.</w:t>
      </w:r>
    </w:p>
    <w:p w14:paraId="1FF598DF" w14:textId="77777777" w:rsidR="004B0E2D" w:rsidRDefault="004B0E2D" w:rsidP="001679D6"/>
    <w:p w14:paraId="2BF66420" w14:textId="77777777" w:rsidR="004B0E2D" w:rsidRDefault="004B0E2D" w:rsidP="001679D6">
      <w:r>
        <w:tab/>
        <w:t xml:space="preserve">The provisions of these investment guidelines and any amendments hereto shall take </w:t>
      </w:r>
      <w:r>
        <w:tab/>
        <w:t xml:space="preserve">effect prospectively and shall not invalidate the prior selection of any custodial bank </w:t>
      </w:r>
      <w:r>
        <w:tab/>
        <w:t>or prior investment.</w:t>
      </w:r>
    </w:p>
    <w:p w14:paraId="266BF38C" w14:textId="77777777" w:rsidR="004B0E2D" w:rsidRDefault="004B0E2D" w:rsidP="001679D6"/>
    <w:p w14:paraId="166B061F" w14:textId="77777777" w:rsidR="00B33388" w:rsidRDefault="00B33388" w:rsidP="001679D6"/>
    <w:p w14:paraId="22D698F2" w14:textId="77777777" w:rsidR="00B33388" w:rsidRPr="004C1818" w:rsidRDefault="00B33388" w:rsidP="001679D6"/>
    <w:sectPr w:rsidR="00B33388" w:rsidRPr="004C1818" w:rsidSect="00366B6E">
      <w:footerReference w:type="even" r:id="rId8"/>
      <w:footerReference w:type="default" r:id="rId9"/>
      <w:pgSz w:w="12240" w:h="15840"/>
      <w:pgMar w:top="720" w:right="1584"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D5B1" w14:textId="77777777" w:rsidR="00C800A1" w:rsidRDefault="00C800A1">
      <w:r>
        <w:separator/>
      </w:r>
    </w:p>
  </w:endnote>
  <w:endnote w:type="continuationSeparator" w:id="0">
    <w:p w14:paraId="18679818" w14:textId="77777777" w:rsidR="00C800A1" w:rsidRDefault="00C8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F832" w14:textId="77777777" w:rsidR="00C800A1" w:rsidRDefault="00C800A1" w:rsidP="00C36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67C4A" w14:textId="77777777" w:rsidR="00C800A1" w:rsidRDefault="00C800A1" w:rsidP="00C36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10BA" w14:textId="77777777" w:rsidR="00C800A1" w:rsidRDefault="00C800A1" w:rsidP="00C36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00C">
      <w:rPr>
        <w:rStyle w:val="PageNumber"/>
        <w:noProof/>
      </w:rPr>
      <w:t>4</w:t>
    </w:r>
    <w:r>
      <w:rPr>
        <w:rStyle w:val="PageNumber"/>
      </w:rPr>
      <w:fldChar w:fldCharType="end"/>
    </w:r>
  </w:p>
  <w:p w14:paraId="58F494E0" w14:textId="77777777" w:rsidR="00C800A1" w:rsidRDefault="00C800A1" w:rsidP="00C368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9565" w14:textId="77777777" w:rsidR="00C800A1" w:rsidRDefault="00C800A1">
      <w:r>
        <w:separator/>
      </w:r>
    </w:p>
  </w:footnote>
  <w:footnote w:type="continuationSeparator" w:id="0">
    <w:p w14:paraId="77A07696" w14:textId="77777777" w:rsidR="00C800A1" w:rsidRDefault="00C8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D0D65"/>
    <w:multiLevelType w:val="hybridMultilevel"/>
    <w:tmpl w:val="0E2E4E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18112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D4D92"/>
    <w:rsid w:val="00086644"/>
    <w:rsid w:val="00140876"/>
    <w:rsid w:val="00166AC4"/>
    <w:rsid w:val="001679D6"/>
    <w:rsid w:val="00194A34"/>
    <w:rsid w:val="001C6E5A"/>
    <w:rsid w:val="001E1D7C"/>
    <w:rsid w:val="001E3455"/>
    <w:rsid w:val="002C6354"/>
    <w:rsid w:val="002D2E10"/>
    <w:rsid w:val="002F332F"/>
    <w:rsid w:val="00311F70"/>
    <w:rsid w:val="00327C0C"/>
    <w:rsid w:val="0033577D"/>
    <w:rsid w:val="0035468F"/>
    <w:rsid w:val="00366B6E"/>
    <w:rsid w:val="003C1076"/>
    <w:rsid w:val="003D7223"/>
    <w:rsid w:val="00424D62"/>
    <w:rsid w:val="0043540D"/>
    <w:rsid w:val="004564E9"/>
    <w:rsid w:val="00495D3D"/>
    <w:rsid w:val="004B0E2D"/>
    <w:rsid w:val="004C1818"/>
    <w:rsid w:val="00523555"/>
    <w:rsid w:val="00536628"/>
    <w:rsid w:val="0059082D"/>
    <w:rsid w:val="005B683B"/>
    <w:rsid w:val="005E0D6A"/>
    <w:rsid w:val="005E1A95"/>
    <w:rsid w:val="005E4E49"/>
    <w:rsid w:val="005F711F"/>
    <w:rsid w:val="00653700"/>
    <w:rsid w:val="00661067"/>
    <w:rsid w:val="006A6166"/>
    <w:rsid w:val="006E7AE7"/>
    <w:rsid w:val="006F1D94"/>
    <w:rsid w:val="00727761"/>
    <w:rsid w:val="00800E80"/>
    <w:rsid w:val="0081422D"/>
    <w:rsid w:val="008A0ABB"/>
    <w:rsid w:val="008B23BA"/>
    <w:rsid w:val="00927891"/>
    <w:rsid w:val="00935491"/>
    <w:rsid w:val="0097400C"/>
    <w:rsid w:val="009A0920"/>
    <w:rsid w:val="00A10D7C"/>
    <w:rsid w:val="00A45680"/>
    <w:rsid w:val="00B33388"/>
    <w:rsid w:val="00B76C13"/>
    <w:rsid w:val="00BA0061"/>
    <w:rsid w:val="00C368D7"/>
    <w:rsid w:val="00C40920"/>
    <w:rsid w:val="00C800A1"/>
    <w:rsid w:val="00CC795E"/>
    <w:rsid w:val="00D254ED"/>
    <w:rsid w:val="00DF3677"/>
    <w:rsid w:val="00DF5FF7"/>
    <w:rsid w:val="00E454E6"/>
    <w:rsid w:val="00E93151"/>
    <w:rsid w:val="00EC42C8"/>
    <w:rsid w:val="00F04B89"/>
    <w:rsid w:val="00FB0D38"/>
    <w:rsid w:val="00FD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86A220"/>
  <w15:docId w15:val="{43E7E561-A2EC-4711-8F9D-CEE4A2CE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68D7"/>
    <w:pPr>
      <w:tabs>
        <w:tab w:val="center" w:pos="4320"/>
        <w:tab w:val="right" w:pos="8640"/>
      </w:tabs>
    </w:pPr>
  </w:style>
  <w:style w:type="character" w:styleId="PageNumber">
    <w:name w:val="page number"/>
    <w:basedOn w:val="DefaultParagraphFont"/>
    <w:rsid w:val="00C368D7"/>
  </w:style>
  <w:style w:type="paragraph" w:styleId="BalloonText">
    <w:name w:val="Balloon Text"/>
    <w:basedOn w:val="Normal"/>
    <w:semiHidden/>
    <w:rsid w:val="00CC795E"/>
    <w:rPr>
      <w:rFonts w:ascii="Tahoma" w:hAnsi="Tahoma" w:cs="Tahoma"/>
      <w:sz w:val="16"/>
      <w:szCs w:val="16"/>
    </w:rPr>
  </w:style>
  <w:style w:type="paragraph" w:styleId="Revision">
    <w:name w:val="Revision"/>
    <w:hidden/>
    <w:uiPriority w:val="99"/>
    <w:semiHidden/>
    <w:rsid w:val="00D254ED"/>
    <w:rPr>
      <w:sz w:val="24"/>
      <w:szCs w:val="24"/>
    </w:rPr>
  </w:style>
  <w:style w:type="character" w:styleId="CommentReference">
    <w:name w:val="annotation reference"/>
    <w:basedOn w:val="DefaultParagraphFont"/>
    <w:uiPriority w:val="99"/>
    <w:semiHidden/>
    <w:unhideWhenUsed/>
    <w:rsid w:val="00C800A1"/>
    <w:rPr>
      <w:sz w:val="16"/>
      <w:szCs w:val="16"/>
    </w:rPr>
  </w:style>
  <w:style w:type="paragraph" w:styleId="CommentText">
    <w:name w:val="annotation text"/>
    <w:basedOn w:val="Normal"/>
    <w:link w:val="CommentTextChar"/>
    <w:uiPriority w:val="99"/>
    <w:semiHidden/>
    <w:unhideWhenUsed/>
    <w:rsid w:val="00C800A1"/>
    <w:rPr>
      <w:sz w:val="20"/>
      <w:szCs w:val="20"/>
    </w:rPr>
  </w:style>
  <w:style w:type="character" w:customStyle="1" w:styleId="CommentTextChar">
    <w:name w:val="Comment Text Char"/>
    <w:basedOn w:val="DefaultParagraphFont"/>
    <w:link w:val="CommentText"/>
    <w:uiPriority w:val="99"/>
    <w:semiHidden/>
    <w:rsid w:val="00C800A1"/>
  </w:style>
  <w:style w:type="paragraph" w:styleId="CommentSubject">
    <w:name w:val="annotation subject"/>
    <w:basedOn w:val="CommentText"/>
    <w:next w:val="CommentText"/>
    <w:link w:val="CommentSubjectChar"/>
    <w:uiPriority w:val="99"/>
    <w:semiHidden/>
    <w:unhideWhenUsed/>
    <w:rsid w:val="00C800A1"/>
    <w:rPr>
      <w:b/>
      <w:bCs/>
    </w:rPr>
  </w:style>
  <w:style w:type="character" w:customStyle="1" w:styleId="CommentSubjectChar">
    <w:name w:val="Comment Subject Char"/>
    <w:basedOn w:val="CommentTextChar"/>
    <w:link w:val="CommentSubject"/>
    <w:uiPriority w:val="99"/>
    <w:semiHidden/>
    <w:rsid w:val="00C80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C79F-062F-4847-A4B5-8D1E8CD2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CLIFTON PARK WATER AUTHORITY</vt:lpstr>
    </vt:vector>
  </TitlesOfParts>
  <Company>Town of Clifton Park Water Authority</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CLIFTON PARK WATER AUTHORITY</dc:title>
  <dc:subject/>
  <dc:creator>Roberta Jones</dc:creator>
  <cp:keywords/>
  <dc:description/>
  <cp:lastModifiedBy>Sheri Collins</cp:lastModifiedBy>
  <cp:revision>5</cp:revision>
  <cp:lastPrinted>2017-05-02T18:08:00Z</cp:lastPrinted>
  <dcterms:created xsi:type="dcterms:W3CDTF">2016-09-12T19:30:00Z</dcterms:created>
  <dcterms:modified xsi:type="dcterms:W3CDTF">2023-05-10T18:07:00Z</dcterms:modified>
</cp:coreProperties>
</file>